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76" w:rsidRPr="00A839A1" w:rsidRDefault="004F0F76" w:rsidP="004F0F76">
      <w:pPr>
        <w:rPr>
          <w:rFonts w:ascii="Arial" w:hAnsi="Arial" w:cs="Arial"/>
        </w:rPr>
      </w:pPr>
      <w:r w:rsidRPr="00A839A1">
        <w:rPr>
          <w:rFonts w:ascii="Arial" w:hAnsi="Arial" w:cs="Arial"/>
        </w:rPr>
        <w:t>Zapytanie</w:t>
      </w:r>
      <w:r>
        <w:rPr>
          <w:rFonts w:ascii="Arial" w:hAnsi="Arial" w:cs="Arial"/>
        </w:rPr>
        <w:t xml:space="preserve"> z dnia 29 marca 2018</w:t>
      </w:r>
      <w:r w:rsidRPr="00A839A1">
        <w:rPr>
          <w:rFonts w:ascii="Arial" w:hAnsi="Arial" w:cs="Arial"/>
        </w:rPr>
        <w:t xml:space="preserve"> do Zamówienia Nr 534495 - N - 2018 z dnia 21.03.2018</w:t>
      </w:r>
    </w:p>
    <w:p w:rsidR="004F0F76" w:rsidRDefault="004F0F76" w:rsidP="004F0F76">
      <w:r>
        <w:t xml:space="preserve">Do Zamawiającego  zwrócono się z zapytaniem dot. przetargu </w:t>
      </w:r>
      <w:r>
        <w:br/>
        <w:t xml:space="preserve">nieograniczonego na "budowę wielorodzinnego budynku mieszkalnego oraz </w:t>
      </w:r>
      <w:r>
        <w:br/>
        <w:t xml:space="preserve">rozbiórkę budynku gospodarczego położonych w Pułtusku przy ul. Jana </w:t>
      </w:r>
      <w:r>
        <w:br/>
        <w:t>Pawła II 19 A":</w:t>
      </w:r>
      <w:r>
        <w:br/>
        <w:t xml:space="preserve">1. Czy Zamawiający dopuszcza zastosowanie okien o standardowej </w:t>
      </w:r>
      <w:r>
        <w:br/>
        <w:t xml:space="preserve">izolacyjności akustycznej, zamiast projektowanych okien o izolacyjności </w:t>
      </w:r>
      <w:r>
        <w:br/>
        <w:t xml:space="preserve">42 </w:t>
      </w:r>
      <w:proofErr w:type="spellStart"/>
      <w:r>
        <w:t>dB</w:t>
      </w:r>
      <w:proofErr w:type="spellEnd"/>
      <w:r>
        <w:t>, których zastosowanie byłoby znacznie droższe?</w:t>
      </w:r>
      <w:r>
        <w:br/>
        <w:t xml:space="preserve">2. Zgodnie z obowiązującymi warunkami technicznymi maksymalny </w:t>
      </w:r>
      <w:r>
        <w:br/>
        <w:t xml:space="preserve">dopuszczalny współczynnik przenikania ciepła dla drzwi zewnętrznych </w:t>
      </w:r>
      <w:r>
        <w:br/>
        <w:t xml:space="preserve">wynosi 1,5 W/m2K, natomiast w projekcie wpisano 1,7 W/m2K. Czy </w:t>
      </w:r>
      <w:r>
        <w:br/>
        <w:t xml:space="preserve">Zamawiający będzie wymagał spełnienia obecnie obowiązujących wymagań </w:t>
      </w:r>
      <w:r>
        <w:br/>
        <w:t xml:space="preserve">(jeżeli pozwolenie na budowę zostało wydane przed 01.01.2017 r., to nie </w:t>
      </w:r>
      <w:r>
        <w:br/>
        <w:t>jest to wymagane)?</w:t>
      </w:r>
      <w:r>
        <w:br/>
        <w:t xml:space="preserve">3. Czy Zamawiający posiada niezbędne uzgodnienia z zarządcami sieci </w:t>
      </w:r>
      <w:r>
        <w:br/>
        <w:t xml:space="preserve">podlegającymi rozbiórce w trakcie prowadzenia robót - na projekcie </w:t>
      </w:r>
      <w:r>
        <w:br/>
        <w:t xml:space="preserve">zagospodarowania znajduje się zapis, że ich likwidacja ma być </w:t>
      </w:r>
      <w:r>
        <w:br/>
        <w:t xml:space="preserve">przeprowadzona na podstawie odrębnego opracowania. Czy sieci te </w:t>
      </w:r>
      <w:r>
        <w:br/>
        <w:t xml:space="preserve">podlegają tylko likwidacji, czy należy je odtworzyć w innym miejscu - z </w:t>
      </w:r>
      <w:r>
        <w:br/>
        <w:t xml:space="preserve">mapy można wnioskować, że przynajmniej część z nich stanowi zasilenie </w:t>
      </w:r>
      <w:r>
        <w:br/>
        <w:t xml:space="preserve">istniejących budynków. Czy w takim przypadku ich nowa lokalizacja </w:t>
      </w:r>
      <w:r>
        <w:br/>
        <w:t xml:space="preserve">została uzgodniona i czy przebudowa leży w zakresie obowiązków wykonawcy </w:t>
      </w:r>
      <w:r>
        <w:br/>
        <w:t>zamówienia, czy zarządców sieci?</w:t>
      </w:r>
      <w:r>
        <w:br/>
        <w:t>P.H.U. Budomur Sp. z o. o.</w:t>
      </w:r>
    </w:p>
    <w:p w:rsidR="004F0F76" w:rsidRDefault="004F0F76" w:rsidP="004F0F76">
      <w:pPr>
        <w:jc w:val="both"/>
        <w:rPr>
          <w:rFonts w:ascii="Arial" w:hAnsi="Arial" w:cs="Arial"/>
        </w:rPr>
      </w:pPr>
      <w:r w:rsidRPr="00A839A1">
        <w:rPr>
          <w:rFonts w:ascii="Arial" w:hAnsi="Arial" w:cs="Arial"/>
        </w:rPr>
        <w:t>Zamawiający</w:t>
      </w:r>
      <w:r>
        <w:rPr>
          <w:rFonts w:ascii="Arial" w:hAnsi="Arial" w:cs="Arial"/>
        </w:rPr>
        <w:t>, Towarzystwo Budownictwa Społecznego Sp. z o.o. udzielił na powyższe pytania następujących odpowiedzi.</w:t>
      </w:r>
    </w:p>
    <w:p w:rsidR="004F0F76" w:rsidRDefault="004F0F76" w:rsidP="004F0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 1 Zamawiający dopuszcza zastosowanie okien o izolacyjności akustycznej nie mniejszej niż R A2 = 20dB</w:t>
      </w:r>
    </w:p>
    <w:p w:rsidR="004F0F76" w:rsidRDefault="004F0F76" w:rsidP="004F0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 2 Zamawiający będzie wymagał spełnienia wymagań projektowych tzn. współczynnik przenikania ciepła dla drzwi zewnętrznych 1,7 W/m2K.</w:t>
      </w:r>
    </w:p>
    <w:p w:rsidR="004F0F76" w:rsidRDefault="004F0F76" w:rsidP="004F0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 3 Zamawiający posiada wszelkie niezbędne uzgodnienia z zarządcami sieci.</w:t>
      </w:r>
    </w:p>
    <w:p w:rsidR="004F0F76" w:rsidRDefault="004F0F76" w:rsidP="004F0F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Sieć ciepłownicza.</w:t>
      </w:r>
    </w:p>
    <w:p w:rsidR="004F0F76" w:rsidRDefault="004F0F76" w:rsidP="004F0F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przez PEC Pułtusk wykonania przyłącza cieplnego wysokoparametrowego przez dostawcę ciepła dla mocy zamówionej 240 KW. (Pismo PEC Pułtusk nr 9/16 z dnia 13.01.2016)</w:t>
      </w:r>
    </w:p>
    <w:p w:rsidR="004F0F76" w:rsidRDefault="004F0F76" w:rsidP="004F0F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Sieć gazowa.</w:t>
      </w:r>
    </w:p>
    <w:p w:rsidR="004F0F76" w:rsidRDefault="004F0F76" w:rsidP="004F0F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warunkami technicznymi miejscem przyłączenia instalacji gazowej jest budynek wielorodzinny Pułtusk ul. Jana Pawła II </w:t>
      </w:r>
      <w:r w:rsidR="00A41F67">
        <w:rPr>
          <w:rFonts w:ascii="Arial" w:hAnsi="Arial" w:cs="Arial"/>
        </w:rPr>
        <w:t xml:space="preserve">19 A </w:t>
      </w:r>
      <w:r>
        <w:rPr>
          <w:rFonts w:ascii="Arial" w:hAnsi="Arial" w:cs="Arial"/>
        </w:rPr>
        <w:t>dz. 63/7</w:t>
      </w:r>
    </w:p>
    <w:p w:rsidR="004F0F76" w:rsidRDefault="004F0F76" w:rsidP="004F0F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Sieć elektro energetyczna.</w:t>
      </w:r>
    </w:p>
    <w:p w:rsidR="004F0F76" w:rsidRDefault="004F0F76" w:rsidP="004F0F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Usuniecie kolizji sieci elektroenergetycznej zostało wykonane przez Energa operator na podstawie oddzielnego postępowania. Budowa przyłącza w gestii operatora sieci.</w:t>
      </w:r>
    </w:p>
    <w:p w:rsidR="004F0F76" w:rsidRDefault="004F0F76" w:rsidP="004F0F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Sieć wodno – kanalizacyjna.</w:t>
      </w:r>
    </w:p>
    <w:p w:rsidR="004F0F76" w:rsidRDefault="004F0F76" w:rsidP="004F0F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Włączenie do wodociągu </w:t>
      </w:r>
      <w:r>
        <w:rPr>
          <w:rFonts w:ascii="DejaVu Sans" w:hAnsi="DejaVu Sans" w:cs="DejaVu Sans"/>
        </w:rPr>
        <w:t>Φ</w:t>
      </w:r>
      <w:r>
        <w:rPr>
          <w:rFonts w:ascii="Arial" w:hAnsi="Arial" w:cs="Arial"/>
        </w:rPr>
        <w:t xml:space="preserve"> 90PE zlokalizowanego na działce 67/7, wpięcie do istniejącej kanalizacji kamionkowej 0,20, studnia betonowa o rzędnych 94,44/91,33, zlokalizowana na działce objętej inwestycją.</w:t>
      </w:r>
    </w:p>
    <w:p w:rsidR="0092282A" w:rsidRDefault="0092282A"/>
    <w:sectPr w:rsidR="0092282A" w:rsidSect="0092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0F76"/>
    <w:rsid w:val="004F0F76"/>
    <w:rsid w:val="008073C3"/>
    <w:rsid w:val="0092282A"/>
    <w:rsid w:val="00A4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3</cp:revision>
  <cp:lastPrinted>2018-04-03T07:29:00Z</cp:lastPrinted>
  <dcterms:created xsi:type="dcterms:W3CDTF">2018-04-03T07:15:00Z</dcterms:created>
  <dcterms:modified xsi:type="dcterms:W3CDTF">2018-04-03T07:29:00Z</dcterms:modified>
</cp:coreProperties>
</file>